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64" w:rsidRPr="00F11B09" w:rsidRDefault="00F36764" w:rsidP="00F36764">
      <w:pPr>
        <w:tabs>
          <w:tab w:val="left" w:pos="270"/>
        </w:tabs>
        <w:spacing w:line="360" w:lineRule="auto"/>
        <w:jc w:val="center"/>
        <w:rPr>
          <w:rFonts w:ascii="Times New Roman" w:hAnsi="Times New Roman"/>
          <w:b/>
          <w:color w:val="C00000"/>
          <w:sz w:val="24"/>
          <w:szCs w:val="24"/>
        </w:rPr>
      </w:pPr>
      <w:r w:rsidRPr="00F11B09">
        <w:rPr>
          <w:rFonts w:ascii="Times New Roman" w:hAnsi="Times New Roman"/>
          <w:b/>
          <w:color w:val="C00000"/>
          <w:sz w:val="24"/>
          <w:szCs w:val="24"/>
        </w:rPr>
        <w:t>SERVICES OFFERED</w:t>
      </w:r>
    </w:p>
    <w:p w:rsidR="00F36764" w:rsidRPr="00F11B09" w:rsidRDefault="00F36764" w:rsidP="00F36764">
      <w:pPr>
        <w:tabs>
          <w:tab w:val="left" w:pos="270"/>
        </w:tabs>
        <w:spacing w:after="0" w:line="360" w:lineRule="auto"/>
        <w:jc w:val="both"/>
        <w:rPr>
          <w:rFonts w:ascii="Times New Roman" w:hAnsi="Times New Roman"/>
          <w:sz w:val="24"/>
          <w:szCs w:val="24"/>
        </w:rPr>
      </w:pPr>
      <w:r w:rsidRPr="00F11B09">
        <w:rPr>
          <w:rFonts w:ascii="Times New Roman" w:hAnsi="Times New Roman"/>
          <w:sz w:val="24"/>
          <w:szCs w:val="24"/>
        </w:rPr>
        <w:t>Offer</w:t>
      </w:r>
      <w:r>
        <w:rPr>
          <w:rFonts w:ascii="Times New Roman" w:hAnsi="Times New Roman"/>
          <w:sz w:val="24"/>
          <w:szCs w:val="24"/>
        </w:rPr>
        <w:t>ing</w:t>
      </w:r>
      <w:r w:rsidRPr="00F11B09">
        <w:rPr>
          <w:rFonts w:ascii="Times New Roman" w:hAnsi="Times New Roman"/>
          <w:sz w:val="24"/>
          <w:szCs w:val="24"/>
        </w:rPr>
        <w:t xml:space="preserve"> transparent and cost-ef</w:t>
      </w:r>
      <w:r>
        <w:rPr>
          <w:rFonts w:ascii="Times New Roman" w:hAnsi="Times New Roman"/>
          <w:sz w:val="24"/>
          <w:szCs w:val="24"/>
        </w:rPr>
        <w:t>fective hassle-free services in</w:t>
      </w:r>
      <w:r w:rsidRPr="00F11B09">
        <w:rPr>
          <w:rFonts w:ascii="Times New Roman" w:hAnsi="Times New Roman"/>
          <w:sz w:val="24"/>
          <w:szCs w:val="24"/>
        </w:rPr>
        <w:t xml:space="preserve"> </w:t>
      </w:r>
      <w:r>
        <w:rPr>
          <w:rFonts w:ascii="Times New Roman" w:hAnsi="Times New Roman"/>
          <w:sz w:val="24"/>
          <w:szCs w:val="24"/>
        </w:rPr>
        <w:t xml:space="preserve">Regulatory </w:t>
      </w:r>
      <w:r w:rsidRPr="00F11B09">
        <w:rPr>
          <w:rFonts w:ascii="Times New Roman" w:hAnsi="Times New Roman"/>
          <w:sz w:val="24"/>
          <w:szCs w:val="24"/>
        </w:rPr>
        <w:t xml:space="preserve">Toxicology, genetic toxicology, Pharmacology, </w:t>
      </w:r>
      <w:r>
        <w:rPr>
          <w:rFonts w:ascii="Times New Roman" w:hAnsi="Times New Roman"/>
          <w:sz w:val="24"/>
          <w:szCs w:val="24"/>
        </w:rPr>
        <w:t>etc</w:t>
      </w:r>
      <w:r w:rsidRPr="00F11B09">
        <w:rPr>
          <w:rFonts w:ascii="Times New Roman" w:hAnsi="Times New Roman"/>
          <w:sz w:val="24"/>
          <w:szCs w:val="24"/>
        </w:rPr>
        <w:t xml:space="preserve">. 'Academically proficient' team of scientist includes PhDs, </w:t>
      </w:r>
      <w:proofErr w:type="spellStart"/>
      <w:r w:rsidRPr="00F11B09">
        <w:rPr>
          <w:rFonts w:ascii="Times New Roman" w:hAnsi="Times New Roman"/>
          <w:sz w:val="24"/>
          <w:szCs w:val="24"/>
        </w:rPr>
        <w:t>MVSc</w:t>
      </w:r>
      <w:proofErr w:type="spellEnd"/>
      <w:r w:rsidRPr="00F11B09">
        <w:rPr>
          <w:rFonts w:ascii="Times New Roman" w:hAnsi="Times New Roman"/>
          <w:sz w:val="24"/>
          <w:szCs w:val="24"/>
        </w:rPr>
        <w:t xml:space="preserve">., </w:t>
      </w:r>
      <w:proofErr w:type="spellStart"/>
      <w:r w:rsidRPr="00F11B09">
        <w:rPr>
          <w:rFonts w:ascii="Times New Roman" w:hAnsi="Times New Roman"/>
          <w:sz w:val="24"/>
          <w:szCs w:val="24"/>
        </w:rPr>
        <w:t>M.Pharm</w:t>
      </w:r>
      <w:proofErr w:type="spellEnd"/>
      <w:r w:rsidRPr="00F11B09">
        <w:rPr>
          <w:rFonts w:ascii="Times New Roman" w:hAnsi="Times New Roman"/>
          <w:sz w:val="24"/>
          <w:szCs w:val="24"/>
        </w:rPr>
        <w:t xml:space="preserve">, and life-sciences postgraduates/graduates who are experienced and trained in handling of pharmaceutical and biopharmaceutical, agrochemical,  </w:t>
      </w:r>
      <w:proofErr w:type="spellStart"/>
      <w:r w:rsidRPr="00F11B09">
        <w:rPr>
          <w:rFonts w:ascii="Times New Roman" w:hAnsi="Times New Roman"/>
          <w:sz w:val="24"/>
          <w:szCs w:val="24"/>
        </w:rPr>
        <w:t>biosimilars</w:t>
      </w:r>
      <w:proofErr w:type="spellEnd"/>
      <w:r w:rsidRPr="00F11B09">
        <w:rPr>
          <w:rFonts w:ascii="Times New Roman" w:hAnsi="Times New Roman"/>
          <w:sz w:val="24"/>
          <w:szCs w:val="24"/>
        </w:rPr>
        <w:t xml:space="preserve">, and veterinary products.  </w:t>
      </w:r>
      <w:r>
        <w:rPr>
          <w:rFonts w:ascii="Times New Roman" w:hAnsi="Times New Roman"/>
          <w:sz w:val="24"/>
          <w:szCs w:val="24"/>
        </w:rPr>
        <w:t>S</w:t>
      </w:r>
      <w:r w:rsidRPr="00F11B09">
        <w:rPr>
          <w:rFonts w:ascii="Times New Roman" w:hAnsi="Times New Roman"/>
          <w:sz w:val="24"/>
          <w:szCs w:val="24"/>
        </w:rPr>
        <w:t xml:space="preserve">tudies conducted are in accordance with the regulatory requirements and guidance documents of the EMA, US FDA, ICH, OECD, and DCGI, RCGM etc. </w:t>
      </w:r>
    </w:p>
    <w:p w:rsidR="00F36764" w:rsidRPr="00F11B09" w:rsidRDefault="00F36764" w:rsidP="00F36764">
      <w:pPr>
        <w:tabs>
          <w:tab w:val="left" w:pos="270"/>
        </w:tabs>
        <w:spacing w:after="0" w:line="360" w:lineRule="auto"/>
        <w:jc w:val="both"/>
        <w:rPr>
          <w:rFonts w:ascii="Times New Roman" w:hAnsi="Times New Roman"/>
          <w:b/>
          <w:color w:val="C00000"/>
          <w:sz w:val="24"/>
          <w:szCs w:val="24"/>
        </w:rPr>
      </w:pPr>
      <w:r w:rsidRPr="00F11B09">
        <w:rPr>
          <w:rFonts w:ascii="Times New Roman" w:eastAsia="Times New Roman" w:hAnsi="Times New Roman"/>
          <w:color w:val="000000"/>
          <w:sz w:val="24"/>
          <w:szCs w:val="24"/>
        </w:rPr>
        <w:t>CEFTE designs the Animal experiments only after due consideration of animal health and the advancement of knowledge on humans or animals weighed against the potential impacts on the welfare of the animals</w:t>
      </w:r>
      <w:r>
        <w:rPr>
          <w:rFonts w:ascii="Times New Roman" w:eastAsia="Times New Roman" w:hAnsi="Times New Roman"/>
          <w:color w:val="000000"/>
          <w:sz w:val="24"/>
          <w:szCs w:val="24"/>
        </w:rPr>
        <w:t xml:space="preserve"> </w:t>
      </w:r>
      <w:r w:rsidRPr="00F11B09">
        <w:rPr>
          <w:rFonts w:ascii="Times New Roman" w:eastAsia="Times New Roman" w:hAnsi="Times New Roman"/>
          <w:color w:val="000000"/>
          <w:sz w:val="24"/>
          <w:szCs w:val="24"/>
        </w:rPr>
        <w:t xml:space="preserve">with the </w:t>
      </w:r>
      <w:proofErr w:type="gramStart"/>
      <w:r w:rsidRPr="00F11B09">
        <w:rPr>
          <w:rFonts w:ascii="Times New Roman" w:eastAsia="Times New Roman" w:hAnsi="Times New Roman"/>
          <w:color w:val="000000"/>
          <w:sz w:val="24"/>
          <w:szCs w:val="24"/>
        </w:rPr>
        <w:t>4</w:t>
      </w:r>
      <w:proofErr w:type="gramEnd"/>
      <w:r w:rsidRPr="00F11B09">
        <w:rPr>
          <w:rFonts w:ascii="Times New Roman" w:eastAsia="Times New Roman" w:hAnsi="Times New Roman"/>
          <w:color w:val="000000"/>
          <w:sz w:val="24"/>
          <w:szCs w:val="24"/>
        </w:rPr>
        <w:t xml:space="preserve"> ‘R’ principles </w:t>
      </w:r>
    </w:p>
    <w:p w:rsidR="00F36764" w:rsidRPr="00F11B09" w:rsidRDefault="00F36764" w:rsidP="00F36764">
      <w:pPr>
        <w:tabs>
          <w:tab w:val="left" w:pos="270"/>
        </w:tabs>
        <w:spacing w:after="0" w:line="360" w:lineRule="auto"/>
        <w:rPr>
          <w:rFonts w:ascii="Times New Roman" w:hAnsi="Times New Roman"/>
          <w:b/>
          <w:color w:val="C00000"/>
          <w:sz w:val="24"/>
          <w:szCs w:val="24"/>
        </w:rPr>
      </w:pPr>
      <w:r w:rsidRPr="00F11B09">
        <w:rPr>
          <w:rFonts w:ascii="Times New Roman" w:hAnsi="Times New Roman"/>
          <w:b/>
          <w:color w:val="C00000"/>
          <w:sz w:val="24"/>
          <w:szCs w:val="24"/>
        </w:rPr>
        <w:t xml:space="preserve">Test system </w:t>
      </w:r>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 xml:space="preserve">Rats  </w:t>
      </w:r>
      <w:r w:rsidRPr="00F11B09">
        <w:rPr>
          <w:rFonts w:ascii="Times New Roman" w:hAnsi="Times New Roman"/>
          <w:sz w:val="24"/>
          <w:szCs w:val="24"/>
        </w:rPr>
        <w:tab/>
      </w:r>
      <w:r w:rsidRPr="00F11B09">
        <w:rPr>
          <w:rFonts w:ascii="Times New Roman" w:hAnsi="Times New Roman"/>
          <w:sz w:val="24"/>
          <w:szCs w:val="24"/>
        </w:rPr>
        <w:tab/>
      </w:r>
      <w:r w:rsidRPr="00F11B09">
        <w:rPr>
          <w:rFonts w:ascii="Times New Roman" w:hAnsi="Times New Roman"/>
          <w:sz w:val="24"/>
          <w:szCs w:val="24"/>
        </w:rPr>
        <w:tab/>
        <w:t>-</w:t>
      </w:r>
      <w:r w:rsidRPr="00F11B09">
        <w:rPr>
          <w:rFonts w:ascii="Times New Roman" w:hAnsi="Times New Roman"/>
          <w:sz w:val="24"/>
          <w:szCs w:val="24"/>
        </w:rPr>
        <w:tab/>
      </w:r>
      <w:proofErr w:type="spellStart"/>
      <w:r w:rsidRPr="00F11B09">
        <w:rPr>
          <w:rFonts w:ascii="Times New Roman" w:hAnsi="Times New Roman"/>
          <w:sz w:val="24"/>
          <w:szCs w:val="24"/>
        </w:rPr>
        <w:t>Wistar</w:t>
      </w:r>
      <w:proofErr w:type="spellEnd"/>
      <w:r w:rsidRPr="00F11B09">
        <w:rPr>
          <w:rFonts w:ascii="Times New Roman" w:hAnsi="Times New Roman"/>
          <w:sz w:val="24"/>
          <w:szCs w:val="24"/>
        </w:rPr>
        <w:t xml:space="preserve">, Sprague Dawley </w:t>
      </w:r>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 xml:space="preserve">Mice </w:t>
      </w:r>
      <w:r w:rsidRPr="00F11B09">
        <w:rPr>
          <w:rFonts w:ascii="Times New Roman" w:hAnsi="Times New Roman"/>
          <w:sz w:val="24"/>
          <w:szCs w:val="24"/>
        </w:rPr>
        <w:tab/>
      </w:r>
      <w:r w:rsidRPr="00F11B09">
        <w:rPr>
          <w:rFonts w:ascii="Times New Roman" w:hAnsi="Times New Roman"/>
          <w:sz w:val="24"/>
          <w:szCs w:val="24"/>
        </w:rPr>
        <w:tab/>
      </w:r>
      <w:r w:rsidRPr="00F11B09">
        <w:rPr>
          <w:rFonts w:ascii="Times New Roman" w:hAnsi="Times New Roman"/>
          <w:sz w:val="24"/>
          <w:szCs w:val="24"/>
        </w:rPr>
        <w:tab/>
        <w:t>-</w:t>
      </w:r>
      <w:r w:rsidRPr="00F11B09">
        <w:rPr>
          <w:rFonts w:ascii="Times New Roman" w:hAnsi="Times New Roman"/>
          <w:sz w:val="24"/>
          <w:szCs w:val="24"/>
        </w:rPr>
        <w:tab/>
        <w:t xml:space="preserve">Swiss albino, </w:t>
      </w:r>
      <w:proofErr w:type="spellStart"/>
      <w:r w:rsidRPr="00F11B09">
        <w:rPr>
          <w:rFonts w:ascii="Times New Roman" w:hAnsi="Times New Roman"/>
          <w:sz w:val="24"/>
          <w:szCs w:val="24"/>
        </w:rPr>
        <w:t>Balb</w:t>
      </w:r>
      <w:proofErr w:type="spellEnd"/>
      <w:r w:rsidRPr="00F11B09">
        <w:rPr>
          <w:rFonts w:ascii="Times New Roman" w:hAnsi="Times New Roman"/>
          <w:sz w:val="24"/>
          <w:szCs w:val="24"/>
        </w:rPr>
        <w:t xml:space="preserve">/C, C-57, </w:t>
      </w:r>
      <w:proofErr w:type="spellStart"/>
      <w:r w:rsidRPr="00F11B09">
        <w:rPr>
          <w:rFonts w:ascii="Times New Roman" w:hAnsi="Times New Roman"/>
          <w:sz w:val="24"/>
          <w:szCs w:val="24"/>
        </w:rPr>
        <w:t>Athymic</w:t>
      </w:r>
      <w:proofErr w:type="spellEnd"/>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 xml:space="preserve">Rabbits </w:t>
      </w:r>
      <w:r w:rsidRPr="00F11B09">
        <w:rPr>
          <w:rFonts w:ascii="Times New Roman" w:hAnsi="Times New Roman"/>
          <w:sz w:val="24"/>
          <w:szCs w:val="24"/>
        </w:rPr>
        <w:tab/>
      </w:r>
      <w:r w:rsidRPr="00F11B09">
        <w:rPr>
          <w:rFonts w:ascii="Times New Roman" w:hAnsi="Times New Roman"/>
          <w:sz w:val="24"/>
          <w:szCs w:val="24"/>
        </w:rPr>
        <w:tab/>
        <w:t>-</w:t>
      </w:r>
      <w:r w:rsidRPr="00F11B09">
        <w:rPr>
          <w:rFonts w:ascii="Times New Roman" w:hAnsi="Times New Roman"/>
          <w:sz w:val="24"/>
          <w:szCs w:val="24"/>
        </w:rPr>
        <w:tab/>
        <w:t xml:space="preserve">New Zealand White </w:t>
      </w:r>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 xml:space="preserve">Guinea pigs </w:t>
      </w:r>
      <w:r w:rsidRPr="00F11B09">
        <w:rPr>
          <w:rFonts w:ascii="Times New Roman" w:hAnsi="Times New Roman"/>
          <w:sz w:val="24"/>
          <w:szCs w:val="24"/>
        </w:rPr>
        <w:tab/>
      </w:r>
      <w:r w:rsidRPr="00F11B09">
        <w:rPr>
          <w:rFonts w:ascii="Times New Roman" w:hAnsi="Times New Roman"/>
          <w:sz w:val="24"/>
          <w:szCs w:val="24"/>
        </w:rPr>
        <w:tab/>
        <w:t xml:space="preserve">- </w:t>
      </w:r>
      <w:r w:rsidRPr="00F11B09">
        <w:rPr>
          <w:rFonts w:ascii="Times New Roman" w:hAnsi="Times New Roman"/>
          <w:sz w:val="24"/>
          <w:szCs w:val="24"/>
        </w:rPr>
        <w:tab/>
        <w:t xml:space="preserve">Dunkin Hartley </w:t>
      </w:r>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 xml:space="preserve">Bacterial strains </w:t>
      </w:r>
      <w:r w:rsidRPr="00F11B09">
        <w:rPr>
          <w:rFonts w:ascii="Times New Roman" w:hAnsi="Times New Roman"/>
          <w:sz w:val="24"/>
          <w:szCs w:val="24"/>
        </w:rPr>
        <w:tab/>
        <w:t xml:space="preserve">- </w:t>
      </w:r>
      <w:r w:rsidRPr="00F11B09">
        <w:rPr>
          <w:rFonts w:ascii="Times New Roman" w:hAnsi="Times New Roman"/>
          <w:sz w:val="24"/>
          <w:szCs w:val="24"/>
        </w:rPr>
        <w:tab/>
        <w:t xml:space="preserve">Salmonella </w:t>
      </w:r>
      <w:proofErr w:type="spellStart"/>
      <w:r w:rsidRPr="00F11B09">
        <w:rPr>
          <w:rFonts w:ascii="Times New Roman" w:hAnsi="Times New Roman"/>
          <w:sz w:val="24"/>
          <w:szCs w:val="24"/>
        </w:rPr>
        <w:t>typhymurium</w:t>
      </w:r>
      <w:proofErr w:type="spellEnd"/>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Cell lines</w:t>
      </w:r>
      <w:r w:rsidRPr="00F11B09">
        <w:rPr>
          <w:rFonts w:ascii="Times New Roman" w:hAnsi="Times New Roman"/>
          <w:sz w:val="24"/>
          <w:szCs w:val="24"/>
        </w:rPr>
        <w:tab/>
      </w:r>
      <w:r w:rsidRPr="00F11B09">
        <w:rPr>
          <w:rFonts w:ascii="Times New Roman" w:hAnsi="Times New Roman"/>
          <w:sz w:val="24"/>
          <w:szCs w:val="24"/>
        </w:rPr>
        <w:tab/>
        <w:t>-</w:t>
      </w:r>
      <w:r w:rsidRPr="00F11B09">
        <w:rPr>
          <w:rFonts w:ascii="Times New Roman" w:hAnsi="Times New Roman"/>
          <w:sz w:val="24"/>
          <w:szCs w:val="24"/>
        </w:rPr>
        <w:tab/>
        <w:t>L929, CHOK, 3T3, HepG2</w:t>
      </w:r>
    </w:p>
    <w:p w:rsidR="00F36764" w:rsidRPr="00F11B09" w:rsidRDefault="00F36764" w:rsidP="00F36764">
      <w:pPr>
        <w:tabs>
          <w:tab w:val="left" w:pos="270"/>
        </w:tabs>
        <w:spacing w:after="0" w:line="360" w:lineRule="auto"/>
        <w:rPr>
          <w:rFonts w:ascii="Times New Roman" w:hAnsi="Times New Roman"/>
          <w:b/>
          <w:bCs/>
          <w:color w:val="C00000"/>
          <w:sz w:val="24"/>
          <w:szCs w:val="24"/>
        </w:rPr>
      </w:pPr>
      <w:r w:rsidRPr="00F11B09">
        <w:rPr>
          <w:rFonts w:ascii="Times New Roman" w:hAnsi="Times New Roman"/>
          <w:b/>
          <w:bCs/>
          <w:color w:val="C00000"/>
          <w:sz w:val="24"/>
          <w:szCs w:val="24"/>
        </w:rPr>
        <w:t xml:space="preserve">Test item categories </w:t>
      </w:r>
    </w:p>
    <w:p w:rsidR="00F36764" w:rsidRPr="00F11B09" w:rsidRDefault="00F36764" w:rsidP="00F36764">
      <w:pPr>
        <w:numPr>
          <w:ilvl w:val="0"/>
          <w:numId w:val="2"/>
        </w:numPr>
        <w:tabs>
          <w:tab w:val="left" w:pos="270"/>
        </w:tabs>
        <w:spacing w:after="0" w:line="360" w:lineRule="auto"/>
        <w:ind w:left="0" w:firstLine="0"/>
        <w:rPr>
          <w:rFonts w:ascii="Times New Roman" w:hAnsi="Times New Roman"/>
          <w:bCs/>
          <w:sz w:val="24"/>
          <w:szCs w:val="24"/>
        </w:rPr>
      </w:pPr>
      <w:r w:rsidRPr="00F11B09">
        <w:rPr>
          <w:rFonts w:ascii="Times New Roman" w:hAnsi="Times New Roman"/>
          <w:bCs/>
          <w:sz w:val="24"/>
          <w:szCs w:val="24"/>
        </w:rPr>
        <w:t xml:space="preserve">Pharmaceuticals </w:t>
      </w:r>
    </w:p>
    <w:p w:rsidR="00F36764" w:rsidRPr="00F11B09" w:rsidRDefault="00F36764" w:rsidP="00F36764">
      <w:pPr>
        <w:numPr>
          <w:ilvl w:val="0"/>
          <w:numId w:val="2"/>
        </w:numPr>
        <w:tabs>
          <w:tab w:val="left" w:pos="270"/>
        </w:tabs>
        <w:spacing w:after="0" w:line="360" w:lineRule="auto"/>
        <w:ind w:left="0" w:firstLine="0"/>
        <w:rPr>
          <w:rFonts w:ascii="Times New Roman" w:hAnsi="Times New Roman"/>
          <w:bCs/>
          <w:sz w:val="24"/>
          <w:szCs w:val="24"/>
        </w:rPr>
      </w:pPr>
      <w:r w:rsidRPr="00F11B09">
        <w:rPr>
          <w:rFonts w:ascii="Times New Roman" w:hAnsi="Times New Roman"/>
          <w:bCs/>
          <w:sz w:val="24"/>
          <w:szCs w:val="24"/>
        </w:rPr>
        <w:t>Agrochemicals / Pesticides</w:t>
      </w:r>
    </w:p>
    <w:p w:rsidR="00F36764" w:rsidRPr="00F11B09" w:rsidRDefault="00F36764" w:rsidP="00F36764">
      <w:pPr>
        <w:numPr>
          <w:ilvl w:val="0"/>
          <w:numId w:val="2"/>
        </w:numPr>
        <w:tabs>
          <w:tab w:val="left" w:pos="270"/>
        </w:tabs>
        <w:spacing w:after="0" w:line="360" w:lineRule="auto"/>
        <w:ind w:left="0" w:firstLine="0"/>
        <w:rPr>
          <w:rFonts w:ascii="Times New Roman" w:hAnsi="Times New Roman"/>
          <w:bCs/>
          <w:sz w:val="24"/>
          <w:szCs w:val="24"/>
        </w:rPr>
      </w:pPr>
      <w:r w:rsidRPr="00F11B09">
        <w:rPr>
          <w:rFonts w:ascii="Times New Roman" w:hAnsi="Times New Roman"/>
          <w:bCs/>
          <w:sz w:val="24"/>
          <w:szCs w:val="24"/>
        </w:rPr>
        <w:t>Nutraceuticals</w:t>
      </w:r>
    </w:p>
    <w:p w:rsidR="00F36764" w:rsidRPr="00F11B09" w:rsidRDefault="00F36764" w:rsidP="00F36764">
      <w:pPr>
        <w:numPr>
          <w:ilvl w:val="0"/>
          <w:numId w:val="2"/>
        </w:numPr>
        <w:tabs>
          <w:tab w:val="left" w:pos="270"/>
        </w:tabs>
        <w:spacing w:after="0" w:line="360" w:lineRule="auto"/>
        <w:ind w:left="0" w:firstLine="0"/>
        <w:rPr>
          <w:rFonts w:ascii="Times New Roman" w:hAnsi="Times New Roman"/>
          <w:bCs/>
          <w:sz w:val="24"/>
          <w:szCs w:val="24"/>
        </w:rPr>
      </w:pPr>
      <w:r w:rsidRPr="00F11B09">
        <w:rPr>
          <w:rFonts w:ascii="Times New Roman" w:hAnsi="Times New Roman"/>
          <w:bCs/>
          <w:sz w:val="24"/>
          <w:szCs w:val="24"/>
        </w:rPr>
        <w:t>Herbal based  / Alternative medicines</w:t>
      </w:r>
    </w:p>
    <w:p w:rsidR="00F36764" w:rsidRPr="00F11B09" w:rsidRDefault="00F36764" w:rsidP="00F36764">
      <w:pPr>
        <w:numPr>
          <w:ilvl w:val="0"/>
          <w:numId w:val="2"/>
        </w:numPr>
        <w:tabs>
          <w:tab w:val="left" w:pos="270"/>
        </w:tabs>
        <w:spacing w:after="0" w:line="360" w:lineRule="auto"/>
        <w:ind w:left="0" w:firstLine="0"/>
        <w:rPr>
          <w:rFonts w:ascii="Times New Roman" w:hAnsi="Times New Roman"/>
          <w:bCs/>
          <w:sz w:val="24"/>
          <w:szCs w:val="24"/>
        </w:rPr>
      </w:pPr>
      <w:r w:rsidRPr="00F11B09">
        <w:rPr>
          <w:rFonts w:ascii="Times New Roman" w:hAnsi="Times New Roman"/>
          <w:bCs/>
          <w:sz w:val="24"/>
          <w:szCs w:val="24"/>
        </w:rPr>
        <w:t>Medical devices</w:t>
      </w:r>
    </w:p>
    <w:p w:rsidR="00F36764" w:rsidRPr="00F11B09" w:rsidRDefault="00F36764" w:rsidP="00F36764">
      <w:pPr>
        <w:tabs>
          <w:tab w:val="left" w:pos="270"/>
        </w:tabs>
        <w:spacing w:after="0" w:line="360" w:lineRule="auto"/>
        <w:rPr>
          <w:rFonts w:ascii="Times New Roman" w:hAnsi="Times New Roman"/>
          <w:b/>
          <w:bCs/>
          <w:color w:val="C00000"/>
          <w:sz w:val="24"/>
          <w:szCs w:val="24"/>
        </w:rPr>
      </w:pPr>
      <w:r w:rsidRPr="00F11B09">
        <w:rPr>
          <w:rFonts w:ascii="Times New Roman" w:hAnsi="Times New Roman"/>
          <w:b/>
          <w:bCs/>
          <w:color w:val="C00000"/>
          <w:sz w:val="24"/>
          <w:szCs w:val="24"/>
        </w:rPr>
        <w:t xml:space="preserve">Toxicology services </w:t>
      </w:r>
    </w:p>
    <w:p w:rsidR="00F36764" w:rsidRPr="00F11B09" w:rsidRDefault="00F36764" w:rsidP="00F36764">
      <w:pPr>
        <w:tabs>
          <w:tab w:val="left" w:pos="270"/>
        </w:tabs>
        <w:spacing w:after="0" w:line="360" w:lineRule="auto"/>
        <w:jc w:val="both"/>
        <w:rPr>
          <w:rFonts w:ascii="Times New Roman" w:hAnsi="Times New Roman"/>
          <w:sz w:val="24"/>
          <w:szCs w:val="24"/>
        </w:rPr>
      </w:pPr>
      <w:r w:rsidRPr="00F11B09">
        <w:rPr>
          <w:rFonts w:ascii="Times New Roman" w:hAnsi="Times New Roman"/>
          <w:sz w:val="24"/>
          <w:szCs w:val="24"/>
        </w:rPr>
        <w:t xml:space="preserve">More than 300 studies conducted are in accordance with the GLP regulatory requirements </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 xml:space="preserve">Acute / Single Dose Toxicity </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 xml:space="preserve">Maximum Tolerable dose and Dose range Findings </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 xml:space="preserve">Local Toxicity studies- Skin / Eye / mucus membrane, </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Skin sensitization- Guinea pig (GPMT)</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Sub-Acute / Sub-Chronic toxicity - Repeat Dose 7/14/28/90 day</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Chronic Toxicity - Repeat Dose 180 day/ one year</w:t>
      </w:r>
    </w:p>
    <w:p w:rsidR="00F36764"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8B22A0">
        <w:rPr>
          <w:rFonts w:ascii="Times New Roman" w:hAnsi="Times New Roman"/>
          <w:sz w:val="24"/>
          <w:szCs w:val="24"/>
        </w:rPr>
        <w:lastRenderedPageBreak/>
        <w:t>Reproduction &amp; developmental toxicity studies - fertility, teratology</w:t>
      </w:r>
    </w:p>
    <w:p w:rsidR="00F36764" w:rsidRPr="008B22A0" w:rsidRDefault="00F36764" w:rsidP="00F36764">
      <w:pPr>
        <w:tabs>
          <w:tab w:val="left" w:pos="270"/>
        </w:tabs>
        <w:spacing w:after="0" w:line="360" w:lineRule="auto"/>
        <w:rPr>
          <w:rFonts w:ascii="Times New Roman" w:hAnsi="Times New Roman"/>
          <w:sz w:val="24"/>
          <w:szCs w:val="24"/>
        </w:rPr>
      </w:pPr>
    </w:p>
    <w:p w:rsidR="00F36764" w:rsidRPr="00F11B09" w:rsidRDefault="00F36764" w:rsidP="00F36764">
      <w:pPr>
        <w:tabs>
          <w:tab w:val="left" w:pos="270"/>
        </w:tabs>
        <w:spacing w:after="0" w:line="360" w:lineRule="auto"/>
        <w:rPr>
          <w:rFonts w:ascii="Times New Roman" w:hAnsi="Times New Roman"/>
          <w:color w:val="C00000"/>
          <w:sz w:val="24"/>
          <w:szCs w:val="24"/>
        </w:rPr>
      </w:pPr>
      <w:r w:rsidRPr="00F11B09">
        <w:rPr>
          <w:rFonts w:ascii="Times New Roman" w:hAnsi="Times New Roman"/>
          <w:b/>
          <w:bCs/>
          <w:color w:val="C00000"/>
          <w:sz w:val="24"/>
          <w:szCs w:val="24"/>
        </w:rPr>
        <w:t xml:space="preserve">Genetic Toxicity services (In-vitro and in-vivo) </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proofErr w:type="spellStart"/>
      <w:r w:rsidRPr="00F11B09">
        <w:rPr>
          <w:rFonts w:ascii="Times New Roman" w:hAnsi="Times New Roman"/>
          <w:sz w:val="24"/>
          <w:szCs w:val="24"/>
        </w:rPr>
        <w:t>Invitro</w:t>
      </w:r>
      <w:proofErr w:type="spellEnd"/>
      <w:r w:rsidRPr="00F11B09">
        <w:rPr>
          <w:rFonts w:ascii="Times New Roman" w:hAnsi="Times New Roman"/>
          <w:sz w:val="24"/>
          <w:szCs w:val="24"/>
        </w:rPr>
        <w:t xml:space="preserve"> cytotoxicity</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Ames reverse-mutation assay</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proofErr w:type="spellStart"/>
      <w:r w:rsidRPr="00F11B09">
        <w:rPr>
          <w:rFonts w:ascii="Times New Roman" w:hAnsi="Times New Roman"/>
          <w:sz w:val="24"/>
          <w:szCs w:val="24"/>
        </w:rPr>
        <w:t>Invitro</w:t>
      </w:r>
      <w:proofErr w:type="spellEnd"/>
      <w:r w:rsidRPr="00F11B09">
        <w:rPr>
          <w:rFonts w:ascii="Times New Roman" w:hAnsi="Times New Roman"/>
          <w:sz w:val="24"/>
          <w:szCs w:val="24"/>
        </w:rPr>
        <w:t xml:space="preserve"> and </w:t>
      </w:r>
      <w:proofErr w:type="spellStart"/>
      <w:r w:rsidRPr="00F11B09">
        <w:rPr>
          <w:rFonts w:ascii="Times New Roman" w:hAnsi="Times New Roman"/>
          <w:sz w:val="24"/>
          <w:szCs w:val="24"/>
        </w:rPr>
        <w:t>Invivo</w:t>
      </w:r>
      <w:proofErr w:type="spellEnd"/>
      <w:r w:rsidRPr="00F11B09">
        <w:rPr>
          <w:rFonts w:ascii="Times New Roman" w:hAnsi="Times New Roman"/>
          <w:sz w:val="24"/>
          <w:szCs w:val="24"/>
        </w:rPr>
        <w:t xml:space="preserve"> Micronucleus study </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proofErr w:type="spellStart"/>
      <w:r w:rsidRPr="00F11B09">
        <w:rPr>
          <w:rFonts w:ascii="Times New Roman" w:hAnsi="Times New Roman"/>
          <w:sz w:val="24"/>
          <w:szCs w:val="24"/>
        </w:rPr>
        <w:t>Invitro</w:t>
      </w:r>
      <w:proofErr w:type="spellEnd"/>
      <w:r w:rsidRPr="00F11B09">
        <w:rPr>
          <w:rFonts w:ascii="Times New Roman" w:hAnsi="Times New Roman"/>
          <w:sz w:val="24"/>
          <w:szCs w:val="24"/>
        </w:rPr>
        <w:t xml:space="preserve"> and </w:t>
      </w:r>
      <w:proofErr w:type="spellStart"/>
      <w:r w:rsidRPr="00F11B09">
        <w:rPr>
          <w:rFonts w:ascii="Times New Roman" w:hAnsi="Times New Roman"/>
          <w:sz w:val="24"/>
          <w:szCs w:val="24"/>
        </w:rPr>
        <w:t>Invivo</w:t>
      </w:r>
      <w:proofErr w:type="spellEnd"/>
      <w:r w:rsidRPr="00F11B09">
        <w:rPr>
          <w:rFonts w:ascii="Times New Roman" w:hAnsi="Times New Roman"/>
          <w:sz w:val="24"/>
          <w:szCs w:val="24"/>
        </w:rPr>
        <w:t xml:space="preserve"> Chromosomal aberration test</w:t>
      </w:r>
    </w:p>
    <w:p w:rsidR="00F36764" w:rsidRPr="00F11B09" w:rsidRDefault="00F36764" w:rsidP="00F36764">
      <w:pPr>
        <w:tabs>
          <w:tab w:val="left" w:pos="270"/>
        </w:tabs>
        <w:spacing w:after="0" w:line="360" w:lineRule="auto"/>
        <w:rPr>
          <w:rFonts w:ascii="Times New Roman" w:hAnsi="Times New Roman"/>
          <w:b/>
          <w:bCs/>
          <w:color w:val="C00000"/>
          <w:sz w:val="24"/>
          <w:szCs w:val="24"/>
        </w:rPr>
      </w:pPr>
      <w:r w:rsidRPr="00F11B09">
        <w:rPr>
          <w:rFonts w:ascii="Times New Roman" w:hAnsi="Times New Roman"/>
          <w:b/>
          <w:bCs/>
          <w:color w:val="C00000"/>
          <w:sz w:val="24"/>
          <w:szCs w:val="24"/>
        </w:rPr>
        <w:t>Bio-analytical Assays (Large Molecule)</w:t>
      </w:r>
    </w:p>
    <w:p w:rsidR="00F36764" w:rsidRPr="00F11B09" w:rsidRDefault="00F36764" w:rsidP="00F36764">
      <w:pPr>
        <w:numPr>
          <w:ilvl w:val="0"/>
          <w:numId w:val="3"/>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Method development, validation and sample analysis as per EMA and</w:t>
      </w:r>
      <w:r>
        <w:rPr>
          <w:rFonts w:ascii="Times New Roman" w:hAnsi="Times New Roman"/>
          <w:sz w:val="24"/>
          <w:szCs w:val="24"/>
        </w:rPr>
        <w:t xml:space="preserve"> </w:t>
      </w:r>
      <w:r w:rsidRPr="00F11B09">
        <w:rPr>
          <w:rFonts w:ascii="Times New Roman" w:hAnsi="Times New Roman"/>
          <w:sz w:val="24"/>
          <w:szCs w:val="24"/>
        </w:rPr>
        <w:t>FDA guidelines</w:t>
      </w:r>
    </w:p>
    <w:p w:rsidR="00F36764" w:rsidRPr="00F11B09" w:rsidRDefault="00F36764" w:rsidP="00F36764">
      <w:pPr>
        <w:tabs>
          <w:tab w:val="left" w:pos="270"/>
        </w:tabs>
        <w:spacing w:after="0" w:line="360" w:lineRule="auto"/>
        <w:rPr>
          <w:rFonts w:ascii="Times New Roman" w:hAnsi="Times New Roman"/>
          <w:b/>
          <w:bCs/>
          <w:color w:val="C00000"/>
          <w:sz w:val="24"/>
          <w:szCs w:val="24"/>
        </w:rPr>
      </w:pPr>
      <w:r w:rsidRPr="00F11B09">
        <w:rPr>
          <w:rFonts w:ascii="Times New Roman" w:hAnsi="Times New Roman"/>
          <w:b/>
          <w:bCs/>
          <w:color w:val="C00000"/>
          <w:sz w:val="24"/>
          <w:szCs w:val="24"/>
        </w:rPr>
        <w:t xml:space="preserve">Exploratory / Pharmacological services </w:t>
      </w:r>
    </w:p>
    <w:p w:rsidR="00F36764" w:rsidRPr="00F11B09" w:rsidRDefault="00F36764" w:rsidP="00F36764">
      <w:pPr>
        <w:tabs>
          <w:tab w:val="left" w:pos="270"/>
        </w:tabs>
        <w:spacing w:after="0" w:line="360" w:lineRule="auto"/>
        <w:rPr>
          <w:rFonts w:ascii="Times New Roman" w:hAnsi="Times New Roman"/>
          <w:sz w:val="24"/>
          <w:szCs w:val="24"/>
        </w:rPr>
      </w:pPr>
      <w:r w:rsidRPr="00F11B09">
        <w:rPr>
          <w:rFonts w:ascii="Times New Roman" w:hAnsi="Times New Roman"/>
          <w:sz w:val="24"/>
          <w:szCs w:val="24"/>
        </w:rPr>
        <w:t xml:space="preserve">CEFTE have well-established and validated in vivo disease / screening models </w:t>
      </w:r>
      <w:r>
        <w:rPr>
          <w:rFonts w:ascii="Times New Roman" w:hAnsi="Times New Roman"/>
          <w:sz w:val="24"/>
          <w:szCs w:val="24"/>
        </w:rPr>
        <w:t xml:space="preserve">both chemical induced and surgical models </w:t>
      </w:r>
      <w:proofErr w:type="gramStart"/>
      <w:r w:rsidRPr="00F11B09">
        <w:rPr>
          <w:rFonts w:ascii="Times New Roman" w:hAnsi="Times New Roman"/>
          <w:sz w:val="24"/>
          <w:szCs w:val="24"/>
        </w:rPr>
        <w:t>for</w:t>
      </w:r>
      <w:proofErr w:type="gramEnd"/>
      <w:r w:rsidRPr="00F11B09">
        <w:rPr>
          <w:rFonts w:ascii="Times New Roman" w:hAnsi="Times New Roman"/>
          <w:sz w:val="24"/>
          <w:szCs w:val="24"/>
        </w:rPr>
        <w:t xml:space="preserve">: </w:t>
      </w:r>
    </w:p>
    <w:p w:rsidR="00F36764" w:rsidRPr="00F11B09" w:rsidRDefault="00F36764" w:rsidP="00F36764">
      <w:pPr>
        <w:numPr>
          <w:ilvl w:val="0"/>
          <w:numId w:val="1"/>
        </w:numPr>
        <w:tabs>
          <w:tab w:val="left" w:pos="270"/>
        </w:tabs>
        <w:spacing w:after="0" w:line="360" w:lineRule="auto"/>
        <w:ind w:left="0" w:firstLine="0"/>
        <w:rPr>
          <w:rFonts w:ascii="Times New Roman" w:hAnsi="Times New Roman"/>
          <w:bCs/>
          <w:sz w:val="24"/>
          <w:szCs w:val="24"/>
        </w:rPr>
      </w:pPr>
      <w:r w:rsidRPr="00F11B09">
        <w:rPr>
          <w:rFonts w:ascii="Times New Roman" w:hAnsi="Times New Roman"/>
          <w:bCs/>
          <w:sz w:val="24"/>
          <w:szCs w:val="24"/>
        </w:rPr>
        <w:t>Neuro pharmacology</w:t>
      </w:r>
      <w:r>
        <w:rPr>
          <w:rFonts w:ascii="Times New Roman" w:hAnsi="Times New Roman"/>
          <w:bCs/>
          <w:sz w:val="24"/>
          <w:szCs w:val="24"/>
        </w:rPr>
        <w:t xml:space="preserve"> in rat and mice</w:t>
      </w:r>
    </w:p>
    <w:p w:rsidR="00F36764" w:rsidRPr="00F11B09" w:rsidRDefault="00F36764" w:rsidP="00F36764">
      <w:pPr>
        <w:numPr>
          <w:ilvl w:val="0"/>
          <w:numId w:val="1"/>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Cardio vascular and Metabolic disorder</w:t>
      </w:r>
      <w:r>
        <w:rPr>
          <w:rFonts w:ascii="Times New Roman" w:hAnsi="Times New Roman"/>
          <w:sz w:val="24"/>
          <w:szCs w:val="24"/>
        </w:rPr>
        <w:t xml:space="preserve"> with rat and mice</w:t>
      </w:r>
    </w:p>
    <w:p w:rsidR="00F36764" w:rsidRPr="00F11B09" w:rsidRDefault="00F36764" w:rsidP="00F36764">
      <w:pPr>
        <w:numPr>
          <w:ilvl w:val="0"/>
          <w:numId w:val="1"/>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Pain &amp; Inflammation Pharmacology</w:t>
      </w:r>
    </w:p>
    <w:p w:rsidR="00F36764" w:rsidRDefault="00F36764" w:rsidP="00F36764">
      <w:pPr>
        <w:numPr>
          <w:ilvl w:val="0"/>
          <w:numId w:val="1"/>
        </w:numPr>
        <w:tabs>
          <w:tab w:val="left" w:pos="270"/>
        </w:tabs>
        <w:spacing w:after="0" w:line="360" w:lineRule="auto"/>
        <w:ind w:left="0" w:firstLine="0"/>
        <w:rPr>
          <w:rFonts w:ascii="Times New Roman" w:hAnsi="Times New Roman"/>
          <w:sz w:val="24"/>
          <w:szCs w:val="24"/>
        </w:rPr>
      </w:pPr>
      <w:r>
        <w:rPr>
          <w:rFonts w:ascii="Times New Roman" w:hAnsi="Times New Roman"/>
          <w:sz w:val="24"/>
          <w:szCs w:val="24"/>
        </w:rPr>
        <w:t xml:space="preserve">Reproduction Medicine </w:t>
      </w:r>
    </w:p>
    <w:p w:rsidR="00F36764" w:rsidRPr="00F11B09" w:rsidRDefault="00F36764" w:rsidP="00F36764">
      <w:pPr>
        <w:numPr>
          <w:ilvl w:val="0"/>
          <w:numId w:val="1"/>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Cancer Xenograft model -</w:t>
      </w:r>
      <w:proofErr w:type="spellStart"/>
      <w:r w:rsidRPr="00F11B09">
        <w:rPr>
          <w:rFonts w:ascii="Times New Roman" w:hAnsi="Times New Roman"/>
          <w:sz w:val="24"/>
          <w:szCs w:val="24"/>
        </w:rPr>
        <w:t>Athymic</w:t>
      </w:r>
      <w:proofErr w:type="spellEnd"/>
      <w:r w:rsidRPr="00F11B09">
        <w:rPr>
          <w:rFonts w:ascii="Times New Roman" w:hAnsi="Times New Roman"/>
          <w:sz w:val="24"/>
          <w:szCs w:val="24"/>
        </w:rPr>
        <w:t xml:space="preserve"> mice </w:t>
      </w:r>
    </w:p>
    <w:p w:rsidR="00F36764" w:rsidRPr="00F11B09" w:rsidRDefault="00F36764" w:rsidP="00F36764">
      <w:pPr>
        <w:numPr>
          <w:ilvl w:val="0"/>
          <w:numId w:val="1"/>
        </w:numPr>
        <w:tabs>
          <w:tab w:val="left" w:pos="270"/>
        </w:tabs>
        <w:spacing w:after="0" w:line="360" w:lineRule="auto"/>
        <w:ind w:left="0" w:firstLine="0"/>
        <w:rPr>
          <w:rFonts w:ascii="Times New Roman" w:hAnsi="Times New Roman"/>
          <w:sz w:val="24"/>
          <w:szCs w:val="24"/>
        </w:rPr>
      </w:pPr>
      <w:r w:rsidRPr="00F11B09">
        <w:rPr>
          <w:rFonts w:ascii="Times New Roman" w:hAnsi="Times New Roman"/>
          <w:sz w:val="24"/>
          <w:szCs w:val="24"/>
        </w:rPr>
        <w:t>Biochemical and Molecular techniques</w:t>
      </w:r>
    </w:p>
    <w:p w:rsidR="00F36764" w:rsidRPr="008B22A0" w:rsidRDefault="00F36764" w:rsidP="00F36764">
      <w:pPr>
        <w:numPr>
          <w:ilvl w:val="0"/>
          <w:numId w:val="1"/>
        </w:numPr>
        <w:tabs>
          <w:tab w:val="left" w:pos="270"/>
        </w:tabs>
        <w:spacing w:after="0" w:line="360" w:lineRule="auto"/>
        <w:ind w:left="0" w:firstLine="0"/>
        <w:rPr>
          <w:rFonts w:ascii="Times New Roman" w:eastAsia="Times New Roman" w:hAnsi="Times New Roman"/>
          <w:sz w:val="24"/>
          <w:szCs w:val="24"/>
        </w:rPr>
      </w:pPr>
      <w:r w:rsidRPr="008B22A0">
        <w:rPr>
          <w:rFonts w:ascii="Times New Roman" w:eastAsia="Times New Roman" w:hAnsi="Times New Roman"/>
          <w:bCs/>
          <w:sz w:val="24"/>
          <w:szCs w:val="24"/>
        </w:rPr>
        <w:t>Histopathology and Immunohistochemistry</w:t>
      </w:r>
      <w:r w:rsidRPr="008B22A0">
        <w:rPr>
          <w:rFonts w:ascii="Times New Roman" w:eastAsia="Times New Roman" w:hAnsi="Times New Roman"/>
          <w:sz w:val="24"/>
          <w:szCs w:val="24"/>
        </w:rPr>
        <w:t xml:space="preserve"> </w:t>
      </w:r>
    </w:p>
    <w:p w:rsidR="00B43A2F" w:rsidRDefault="00B43A2F">
      <w:bookmarkStart w:id="0" w:name="_GoBack"/>
      <w:bookmarkEnd w:id="0"/>
    </w:p>
    <w:sectPr w:rsidR="00B43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032B"/>
    <w:multiLevelType w:val="multilevel"/>
    <w:tmpl w:val="76D09A7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C134D"/>
    <w:multiLevelType w:val="multilevel"/>
    <w:tmpl w:val="5DDA083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63B6BCA"/>
    <w:multiLevelType w:val="hybridMultilevel"/>
    <w:tmpl w:val="FCE44A4A"/>
    <w:lvl w:ilvl="0" w:tplc="04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64"/>
    <w:rsid w:val="00B43A2F"/>
    <w:rsid w:val="00F3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29F95-8FED-4B59-B9CD-BCE48415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64"/>
    <w:pPr>
      <w:spacing w:after="200" w:line="27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DR.GAYATHRI</dc:creator>
  <cp:keywords/>
  <dc:description/>
  <cp:lastModifiedBy>DR.GAYATHRI</cp:lastModifiedBy>
  <cp:revision>1</cp:revision>
  <dcterms:created xsi:type="dcterms:W3CDTF">2025-02-24T07:55:00Z</dcterms:created>
  <dcterms:modified xsi:type="dcterms:W3CDTF">2025-02-24T07:55:00Z</dcterms:modified>
</cp:coreProperties>
</file>